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5E" w:rsidRPr="003957A1" w:rsidRDefault="0098125E" w:rsidP="007F39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>Денисовский сельский Совет депутатов</w:t>
      </w:r>
    </w:p>
    <w:p w:rsidR="0098125E" w:rsidRPr="003957A1" w:rsidRDefault="003957A1" w:rsidP="00981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125E" w:rsidRPr="003957A1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98125E" w:rsidRPr="003957A1" w:rsidRDefault="0098125E" w:rsidP="009812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8125E" w:rsidRPr="003957A1" w:rsidRDefault="0098125E" w:rsidP="0098125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8125E" w:rsidRPr="003957A1" w:rsidRDefault="0098125E" w:rsidP="009812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>с. Денисово</w:t>
      </w:r>
    </w:p>
    <w:p w:rsidR="0098125E" w:rsidRPr="003957A1" w:rsidRDefault="00E17C09" w:rsidP="00E17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7A1">
        <w:rPr>
          <w:rFonts w:ascii="Arial" w:hAnsi="Arial" w:cs="Arial"/>
          <w:color w:val="000000"/>
          <w:sz w:val="24"/>
          <w:szCs w:val="24"/>
        </w:rPr>
        <w:t>19.06.2019</w:t>
      </w:r>
      <w:r w:rsidR="003957A1" w:rsidRPr="003957A1">
        <w:rPr>
          <w:rFonts w:ascii="Arial" w:hAnsi="Arial" w:cs="Arial"/>
          <w:color w:val="000000"/>
          <w:sz w:val="24"/>
          <w:szCs w:val="24"/>
        </w:rPr>
        <w:tab/>
      </w:r>
      <w:r w:rsidR="003957A1" w:rsidRPr="003957A1">
        <w:rPr>
          <w:rFonts w:ascii="Arial" w:hAnsi="Arial" w:cs="Arial"/>
          <w:color w:val="000000"/>
          <w:sz w:val="24"/>
          <w:szCs w:val="24"/>
        </w:rPr>
        <w:tab/>
      </w:r>
      <w:r w:rsidR="003957A1" w:rsidRPr="003957A1">
        <w:rPr>
          <w:rFonts w:ascii="Arial" w:hAnsi="Arial" w:cs="Arial"/>
          <w:color w:val="000000"/>
          <w:sz w:val="24"/>
          <w:szCs w:val="24"/>
        </w:rPr>
        <w:tab/>
      </w:r>
      <w:r w:rsidR="003957A1" w:rsidRPr="003957A1">
        <w:rPr>
          <w:rFonts w:ascii="Arial" w:hAnsi="Arial" w:cs="Arial"/>
          <w:color w:val="000000"/>
          <w:sz w:val="24"/>
          <w:szCs w:val="24"/>
        </w:rPr>
        <w:tab/>
      </w:r>
      <w:r w:rsidR="003957A1" w:rsidRPr="003957A1">
        <w:rPr>
          <w:rFonts w:ascii="Arial" w:hAnsi="Arial" w:cs="Arial"/>
          <w:color w:val="000000"/>
          <w:sz w:val="24"/>
          <w:szCs w:val="24"/>
        </w:rPr>
        <w:tab/>
      </w:r>
      <w:r w:rsidR="003957A1" w:rsidRPr="003957A1">
        <w:rPr>
          <w:rFonts w:ascii="Arial" w:hAnsi="Arial" w:cs="Arial"/>
          <w:color w:val="000000"/>
          <w:sz w:val="24"/>
          <w:szCs w:val="24"/>
        </w:rPr>
        <w:tab/>
      </w:r>
      <w:r w:rsidR="003957A1" w:rsidRPr="003957A1">
        <w:rPr>
          <w:rFonts w:ascii="Arial" w:hAnsi="Arial" w:cs="Arial"/>
          <w:color w:val="000000"/>
          <w:sz w:val="24"/>
          <w:szCs w:val="24"/>
        </w:rPr>
        <w:tab/>
      </w:r>
      <w:r w:rsidR="003957A1" w:rsidRPr="003957A1">
        <w:rPr>
          <w:rFonts w:ascii="Arial" w:hAnsi="Arial" w:cs="Arial"/>
          <w:color w:val="000000"/>
          <w:sz w:val="24"/>
          <w:szCs w:val="24"/>
        </w:rPr>
        <w:tab/>
      </w:r>
      <w:r w:rsidR="003957A1" w:rsidRPr="003957A1">
        <w:rPr>
          <w:rFonts w:ascii="Arial" w:hAnsi="Arial" w:cs="Arial"/>
          <w:color w:val="000000"/>
          <w:sz w:val="24"/>
          <w:szCs w:val="24"/>
        </w:rPr>
        <w:tab/>
      </w:r>
      <w:r w:rsidRPr="003957A1">
        <w:rPr>
          <w:rFonts w:ascii="Arial" w:hAnsi="Arial" w:cs="Arial"/>
          <w:color w:val="000000"/>
          <w:sz w:val="24"/>
          <w:szCs w:val="24"/>
        </w:rPr>
        <w:t xml:space="preserve"> </w:t>
      </w:r>
      <w:r w:rsidR="009F5ABF" w:rsidRPr="003957A1">
        <w:rPr>
          <w:rFonts w:ascii="Arial" w:hAnsi="Arial" w:cs="Arial"/>
          <w:color w:val="000000"/>
          <w:sz w:val="24"/>
          <w:szCs w:val="24"/>
        </w:rPr>
        <w:t>№</w:t>
      </w:r>
      <w:r w:rsidRPr="003957A1">
        <w:rPr>
          <w:rFonts w:ascii="Arial" w:hAnsi="Arial" w:cs="Arial"/>
          <w:color w:val="000000"/>
          <w:sz w:val="24"/>
          <w:szCs w:val="24"/>
        </w:rPr>
        <w:t>29-94Р</w:t>
      </w:r>
    </w:p>
    <w:p w:rsidR="00E17C09" w:rsidRPr="003957A1" w:rsidRDefault="00E17C09" w:rsidP="00981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125E" w:rsidRPr="003957A1" w:rsidRDefault="0098125E" w:rsidP="00981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957A1">
        <w:rPr>
          <w:rFonts w:ascii="Arial" w:hAnsi="Arial" w:cs="Arial"/>
          <w:b/>
          <w:bCs/>
          <w:color w:val="000000"/>
          <w:sz w:val="24"/>
          <w:szCs w:val="24"/>
        </w:rPr>
        <w:t xml:space="preserve"> О налоге на имущество физических</w:t>
      </w:r>
    </w:p>
    <w:p w:rsidR="0098125E" w:rsidRPr="003957A1" w:rsidRDefault="0098125E" w:rsidP="00981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957A1">
        <w:rPr>
          <w:rFonts w:ascii="Arial" w:hAnsi="Arial" w:cs="Arial"/>
          <w:b/>
          <w:bCs/>
          <w:color w:val="000000"/>
          <w:sz w:val="24"/>
          <w:szCs w:val="24"/>
        </w:rPr>
        <w:t xml:space="preserve"> лиц от кадастровой стоимости</w:t>
      </w:r>
    </w:p>
    <w:p w:rsidR="0098125E" w:rsidRPr="003957A1" w:rsidRDefault="0098125E" w:rsidP="00981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125E" w:rsidRPr="003957A1" w:rsidRDefault="0098125E" w:rsidP="0098125E">
      <w:pPr>
        <w:widowControl w:val="0"/>
        <w:tabs>
          <w:tab w:val="left" w:pos="2779"/>
          <w:tab w:val="left" w:pos="4997"/>
          <w:tab w:val="left" w:pos="7032"/>
        </w:tabs>
        <w:spacing w:after="0" w:line="322" w:lineRule="exact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</w:t>
      </w:r>
      <w:r w:rsidR="007F3938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 01.11.2018 </w:t>
      </w: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№ 6-21</w:t>
      </w:r>
      <w:r w:rsidR="003957A1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08</w:t>
      </w: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</w:t>
      </w:r>
      <w:r w:rsidR="007F3938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ложения», руководствуясь ст.14., </w:t>
      </w: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ст.17 Устава Денисовского сельсовета, Денисовски</w:t>
      </w:r>
      <w:r w:rsidR="007F3938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й сельский Совет депутатов РЕШИЛ</w:t>
      </w: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:</w:t>
      </w:r>
    </w:p>
    <w:p w:rsidR="0098125E" w:rsidRPr="003957A1" w:rsidRDefault="00A02218" w:rsidP="00A02218">
      <w:pPr>
        <w:widowControl w:val="0"/>
        <w:tabs>
          <w:tab w:val="left" w:leader="underscore" w:pos="4651"/>
          <w:tab w:val="left" w:leader="underscore" w:pos="5539"/>
        </w:tabs>
        <w:spacing w:after="0" w:line="312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8125E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 Установить налог на имущество физических лиц на территории муниципального образования Денисовский сельсовет Дзержинского района Красноярского края.</w:t>
      </w:r>
    </w:p>
    <w:p w:rsidR="0098125E" w:rsidRPr="003957A1" w:rsidRDefault="0098125E" w:rsidP="009812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 w:bidi="ru-RU"/>
        </w:rPr>
      </w:pP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 Налоговые ставки устанавливаются в следующих размерах </w:t>
      </w:r>
      <w:r w:rsidRPr="003957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 w:bidi="ru-RU"/>
        </w:rPr>
        <w:t>от кадастровой стоимости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546"/>
      </w:tblGrid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widowControl w:val="0"/>
              <w:spacing w:after="60" w:line="26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670" w:type="dxa"/>
          </w:tcPr>
          <w:p w:rsidR="0098125E" w:rsidRPr="003957A1" w:rsidRDefault="0098125E" w:rsidP="003957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Объект налогообложения</w:t>
            </w:r>
          </w:p>
        </w:tc>
        <w:tc>
          <w:tcPr>
            <w:tcW w:w="2546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Налоговая ставка (в процентах</w:t>
            </w:r>
          </w:p>
        </w:tc>
      </w:tr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546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жилой дом (часть жилого дома);</w:t>
            </w:r>
          </w:p>
        </w:tc>
        <w:tc>
          <w:tcPr>
            <w:tcW w:w="2546" w:type="dxa"/>
          </w:tcPr>
          <w:p w:rsidR="0098125E" w:rsidRPr="003957A1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квартира (часть квартиры);</w:t>
            </w:r>
          </w:p>
        </w:tc>
        <w:tc>
          <w:tcPr>
            <w:tcW w:w="2546" w:type="dxa"/>
          </w:tcPr>
          <w:p w:rsidR="0098125E" w:rsidRPr="003957A1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комната;</w:t>
            </w:r>
          </w:p>
        </w:tc>
        <w:tc>
          <w:tcPr>
            <w:tcW w:w="2546" w:type="dxa"/>
          </w:tcPr>
          <w:p w:rsidR="0098125E" w:rsidRPr="003957A1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546" w:type="dxa"/>
          </w:tcPr>
          <w:p w:rsidR="0098125E" w:rsidRPr="003957A1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единый недвижимый комплекс, в со</w:t>
            </w:r>
            <w:r w:rsidR="005217A0"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став которого входит хотя бы один жилой дом</w:t>
            </w: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2546" w:type="dxa"/>
          </w:tcPr>
          <w:p w:rsidR="0098125E" w:rsidRPr="003957A1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98125E" w:rsidRPr="003957A1" w:rsidRDefault="005217A0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гараж, машино-место, в том числе расположенный в объектах налогообложения</w:t>
            </w:r>
          </w:p>
        </w:tc>
        <w:tc>
          <w:tcPr>
            <w:tcW w:w="2546" w:type="dxa"/>
          </w:tcPr>
          <w:p w:rsidR="0098125E" w:rsidRPr="003957A1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546" w:type="dxa"/>
          </w:tcPr>
          <w:p w:rsidR="0098125E" w:rsidRPr="003957A1" w:rsidRDefault="000821C5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объект налогообложения, включенных в перечень, определяемый в соответствии с </w:t>
            </w:r>
            <w:r w:rsidR="007F3938"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пунктом7 статьи 378.2 Н</w:t>
            </w:r>
            <w:r w:rsidR="007B0BFB"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алогового</w:t>
            </w: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кодекса</w:t>
            </w:r>
            <w:r w:rsidR="007B0BFB"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</w:t>
            </w: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, в отношении объектов налогообложения, предусмотренных абзацем </w:t>
            </w: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вторым пун</w:t>
            </w:r>
            <w:r w:rsidR="007F3938"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кта в 10 статьи 378.2 Н</w:t>
            </w:r>
            <w:r w:rsidR="007B0BFB"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алогового</w:t>
            </w: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кодекса</w:t>
            </w:r>
            <w:r w:rsidR="007B0BFB"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</w:t>
            </w: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, а также в отношении объектов налогообложения, кадастровая стоимость которого превышает 300 миллионов рублей</w:t>
            </w:r>
          </w:p>
        </w:tc>
        <w:tc>
          <w:tcPr>
            <w:tcW w:w="2546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98125E" w:rsidRPr="003957A1" w:rsidTr="0098125E">
        <w:tc>
          <w:tcPr>
            <w:tcW w:w="1129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3957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Прочие объекты налогообложения</w:t>
            </w:r>
          </w:p>
        </w:tc>
        <w:tc>
          <w:tcPr>
            <w:tcW w:w="2546" w:type="dxa"/>
          </w:tcPr>
          <w:p w:rsidR="0098125E" w:rsidRPr="003957A1" w:rsidRDefault="0098125E" w:rsidP="009812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7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</w:tbl>
    <w:p w:rsidR="0098125E" w:rsidRPr="003957A1" w:rsidRDefault="0098125E" w:rsidP="00981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21C5" w:rsidRPr="003957A1" w:rsidRDefault="000821C5" w:rsidP="00495B50">
      <w:pPr>
        <w:widowControl w:val="0"/>
        <w:numPr>
          <w:ilvl w:val="0"/>
          <w:numId w:val="1"/>
        </w:numPr>
        <w:tabs>
          <w:tab w:val="left" w:pos="1974"/>
        </w:tabs>
        <w:spacing w:after="0" w:line="312" w:lineRule="exact"/>
        <w:ind w:left="-113" w:right="170" w:firstLine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Установить, что право на налог</w:t>
      </w:r>
      <w:r w:rsidR="00495B50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овые льготы, не предусмотренные </w:t>
      </w: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Налоговым кодексом Российской Федерации, имеют следующие категории налогоплательщиков:</w:t>
      </w:r>
    </w:p>
    <w:p w:rsidR="000821C5" w:rsidRPr="003957A1" w:rsidRDefault="000821C5" w:rsidP="000821C5">
      <w:pPr>
        <w:widowControl w:val="0"/>
        <w:spacing w:after="0" w:line="317" w:lineRule="exact"/>
        <w:ind w:left="-113" w:right="170"/>
        <w:jc w:val="both"/>
        <w:outlineLvl w:val="1"/>
        <w:rPr>
          <w:rFonts w:ascii="Arial" w:eastAsia="Candara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Candara" w:hAnsi="Arial" w:cs="Arial"/>
          <w:color w:val="000000"/>
          <w:sz w:val="24"/>
          <w:szCs w:val="24"/>
          <w:lang w:eastAsia="ru-RU" w:bidi="ru-RU"/>
        </w:rPr>
        <w:t>- сироты, оставшиеся без родителей, до достижения ими восемнадцатилетнего возраста;</w:t>
      </w:r>
    </w:p>
    <w:p w:rsidR="000821C5" w:rsidRPr="003957A1" w:rsidRDefault="000821C5" w:rsidP="000821C5">
      <w:pPr>
        <w:widowControl w:val="0"/>
        <w:tabs>
          <w:tab w:val="left" w:pos="1974"/>
        </w:tabs>
        <w:spacing w:after="0" w:line="317" w:lineRule="exact"/>
        <w:ind w:left="-113" w:right="170"/>
        <w:jc w:val="both"/>
        <w:outlineLvl w:val="1"/>
        <w:rPr>
          <w:rFonts w:ascii="Arial" w:eastAsia="Impact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Impact" w:hAnsi="Arial" w:cs="Arial"/>
          <w:color w:val="000000"/>
          <w:sz w:val="24"/>
          <w:szCs w:val="24"/>
          <w:lang w:eastAsia="ru-RU" w:bidi="ru-RU"/>
        </w:rPr>
        <w:t>- дети, находящиеся под опекой;</w:t>
      </w:r>
    </w:p>
    <w:p w:rsidR="000821C5" w:rsidRPr="003957A1" w:rsidRDefault="000821C5" w:rsidP="008E5976">
      <w:pPr>
        <w:widowControl w:val="0"/>
        <w:tabs>
          <w:tab w:val="left" w:pos="1974"/>
        </w:tabs>
        <w:spacing w:after="0" w:line="317" w:lineRule="exact"/>
        <w:ind w:left="-113" w:right="170"/>
        <w:jc w:val="both"/>
        <w:outlineLvl w:val="1"/>
        <w:rPr>
          <w:rFonts w:ascii="Arial" w:eastAsia="Impact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Impact" w:hAnsi="Arial" w:cs="Arial"/>
          <w:color w:val="000000"/>
          <w:sz w:val="24"/>
          <w:szCs w:val="24"/>
          <w:lang w:eastAsia="ru-RU" w:bidi="ru-RU"/>
        </w:rPr>
        <w:t>-родители, усыновители, опекуны, воспитывающие детей инвалидов, если ребенок не находится на полном государственном обеспечении;</w:t>
      </w:r>
    </w:p>
    <w:p w:rsidR="00E973F4" w:rsidRPr="003957A1" w:rsidRDefault="000821C5" w:rsidP="00E973F4">
      <w:pPr>
        <w:spacing w:after="0"/>
        <w:ind w:left="-113" w:right="227" w:firstLine="822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</w:t>
      </w:r>
      <w:r w:rsidR="00495B50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0821C5" w:rsidRPr="003957A1" w:rsidRDefault="000821C5" w:rsidP="00E973F4">
      <w:pPr>
        <w:spacing w:after="0"/>
        <w:ind w:left="-113" w:right="227" w:firstLine="822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821C5" w:rsidRPr="003957A1" w:rsidRDefault="000821C5" w:rsidP="000821C5">
      <w:pPr>
        <w:widowControl w:val="0"/>
        <w:spacing w:after="0" w:line="317" w:lineRule="exact"/>
        <w:ind w:left="-113" w:right="227" w:firstLine="5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Налоговая льгота предоставляется в отношении следующих видов объектов налогообложения:</w:t>
      </w:r>
    </w:p>
    <w:p w:rsidR="000821C5" w:rsidRPr="003957A1" w:rsidRDefault="00E973F4" w:rsidP="000821C5">
      <w:pPr>
        <w:widowControl w:val="0"/>
        <w:spacing w:after="0" w:line="317" w:lineRule="exact"/>
        <w:ind w:left="-113" w:right="227" w:firstLine="8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="000821C5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жилой дом или часть жилого дома;</w:t>
      </w:r>
    </w:p>
    <w:p w:rsidR="000821C5" w:rsidRPr="003957A1" w:rsidRDefault="00E973F4" w:rsidP="005217A0">
      <w:pPr>
        <w:widowControl w:val="0"/>
        <w:spacing w:after="0" w:line="240" w:lineRule="auto"/>
        <w:ind w:left="-113" w:right="227" w:firstLine="83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="000821C5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гараж или машино</w:t>
      </w:r>
      <w:r w:rsidR="005217A0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-место;</w:t>
      </w:r>
    </w:p>
    <w:p w:rsidR="005217A0" w:rsidRPr="003957A1" w:rsidRDefault="00E973F4" w:rsidP="005217A0">
      <w:pPr>
        <w:widowControl w:val="0"/>
        <w:spacing w:after="0" w:line="240" w:lineRule="auto"/>
        <w:ind w:left="-113" w:right="227" w:firstLine="83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="005217A0" w:rsidRPr="003957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квартира, часть квартиры или комната</w:t>
      </w:r>
    </w:p>
    <w:p w:rsidR="000821C5" w:rsidRPr="003957A1" w:rsidRDefault="000821C5" w:rsidP="000821C5">
      <w:pPr>
        <w:numPr>
          <w:ilvl w:val="0"/>
          <w:numId w:val="1"/>
        </w:numPr>
        <w:spacing w:after="0" w:line="240" w:lineRule="auto"/>
        <w:ind w:left="-3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 истечении одного месяца со дня его официального опубликования в периодически печатном издании «Сельские вести» и</w:t>
      </w:r>
      <w:r w:rsidRPr="003957A1">
        <w:rPr>
          <w:rFonts w:ascii="Arial" w:hAnsi="Arial" w:cs="Arial"/>
          <w:sz w:val="24"/>
          <w:szCs w:val="24"/>
        </w:rPr>
        <w:t xml:space="preserve"> не ранее 1-го числа очередного налогового периода по налогу на имущество физических лиц.</w:t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73F4" w:rsidRPr="003957A1">
        <w:rPr>
          <w:rFonts w:ascii="Arial" w:eastAsia="Times New Roman" w:hAnsi="Arial" w:cs="Arial"/>
          <w:sz w:val="24"/>
          <w:szCs w:val="24"/>
          <w:lang w:eastAsia="ru-RU"/>
        </w:rPr>
        <w:t>(с 01.01.2019)</w:t>
      </w:r>
    </w:p>
    <w:p w:rsidR="000821C5" w:rsidRPr="003957A1" w:rsidRDefault="000821C5" w:rsidP="000821C5">
      <w:pPr>
        <w:numPr>
          <w:ilvl w:val="0"/>
          <w:numId w:val="1"/>
        </w:numPr>
        <w:spacing w:after="0" w:line="240" w:lineRule="auto"/>
        <w:ind w:left="-3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>Считать утратившими силу решение Денисовского сельского Совета депутатов:</w:t>
      </w:r>
    </w:p>
    <w:p w:rsidR="000821C5" w:rsidRPr="003957A1" w:rsidRDefault="00E973F4" w:rsidP="000821C5">
      <w:pPr>
        <w:spacing w:after="0" w:line="240" w:lineRule="auto"/>
        <w:ind w:left="-3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>-от 14.11.2018 №23-80 «О налоге</w:t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на имущество физических лиц </w:t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>от кадастровой стоимости</w:t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7F3938" w:rsidRPr="003957A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821C5" w:rsidRPr="003957A1" w:rsidRDefault="00E973F4" w:rsidP="000821C5">
      <w:pPr>
        <w:spacing w:after="0" w:line="240" w:lineRule="auto"/>
        <w:ind w:left="-3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>-от 19.03.2019 №27-89</w:t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>Р «О внесении изменений и дополнений в решение Денисовского сельского Совета депутатов №</w:t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>23-80Р</w:t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>14.11.2018 «О налоге</w:t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на имущество физических лиц</w:t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от кадастровой стоимости</w:t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0821C5" w:rsidRPr="003957A1" w:rsidRDefault="007B0BFB" w:rsidP="000821C5">
      <w:pPr>
        <w:numPr>
          <w:ilvl w:val="0"/>
          <w:numId w:val="1"/>
        </w:numPr>
        <w:spacing w:after="0" w:line="240" w:lineRule="auto"/>
        <w:ind w:left="-3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>В отношении предыдущего налогового периода</w:t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>по налогу на имущество, истекших</w:t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1 января 2</w:t>
      </w:r>
      <w:r w:rsidR="007F3938" w:rsidRPr="003957A1">
        <w:rPr>
          <w:rFonts w:ascii="Arial" w:eastAsia="Times New Roman" w:hAnsi="Arial" w:cs="Arial"/>
          <w:sz w:val="24"/>
          <w:szCs w:val="24"/>
          <w:lang w:eastAsia="ru-RU"/>
        </w:rPr>
        <w:t>019 года принимаются положения</w:t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>ешения от 11.11.2014г №40-120Р «О введении налога на имущество физических лиц на территории Денисовского сельсовета Дзержинского района Красноярского края».</w:t>
      </w:r>
    </w:p>
    <w:p w:rsidR="000821C5" w:rsidRPr="003957A1" w:rsidRDefault="000821C5" w:rsidP="000821C5">
      <w:pPr>
        <w:tabs>
          <w:tab w:val="left" w:pos="1222"/>
        </w:tabs>
        <w:spacing w:after="0" w:line="240" w:lineRule="auto"/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6. Контроль за исполнением настоящего Решения возложить на специалиста 1 категории Путилину Е.А.</w:t>
      </w:r>
    </w:p>
    <w:p w:rsidR="000821C5" w:rsidRPr="003957A1" w:rsidRDefault="000821C5" w:rsidP="000821C5">
      <w:pPr>
        <w:tabs>
          <w:tab w:val="left" w:pos="1222"/>
        </w:tabs>
        <w:spacing w:after="0" w:line="240" w:lineRule="auto"/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1C5" w:rsidRPr="003957A1" w:rsidRDefault="007F3938" w:rsidP="007F3938">
      <w:pPr>
        <w:tabs>
          <w:tab w:val="left" w:pos="1222"/>
        </w:tabs>
        <w:spacing w:after="0" w:line="240" w:lineRule="auto"/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821C5" w:rsidRPr="003957A1">
        <w:rPr>
          <w:rFonts w:ascii="Arial" w:eastAsia="Times New Roman" w:hAnsi="Arial" w:cs="Arial"/>
          <w:sz w:val="24"/>
          <w:szCs w:val="24"/>
          <w:lang w:eastAsia="ru-RU"/>
        </w:rPr>
        <w:t>Ю.В. Степанов</w:t>
      </w:r>
    </w:p>
    <w:p w:rsidR="000821C5" w:rsidRPr="003957A1" w:rsidRDefault="000821C5" w:rsidP="000821C5">
      <w:pPr>
        <w:tabs>
          <w:tab w:val="left" w:pos="1222"/>
        </w:tabs>
        <w:spacing w:after="0" w:line="240" w:lineRule="auto"/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1C5" w:rsidRPr="003957A1" w:rsidRDefault="000821C5" w:rsidP="000821C5">
      <w:pPr>
        <w:tabs>
          <w:tab w:val="left" w:pos="1222"/>
        </w:tabs>
        <w:spacing w:after="0" w:line="240" w:lineRule="auto"/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57A1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</w:t>
      </w:r>
      <w:r w:rsidR="003957A1" w:rsidRPr="00395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7A1" w:rsidRPr="00395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7A1" w:rsidRPr="003957A1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="003957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7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7A1" w:rsidRPr="00395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7A1" w:rsidRPr="00395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7A1" w:rsidRPr="003957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957A1">
        <w:rPr>
          <w:rFonts w:ascii="Arial" w:eastAsia="Times New Roman" w:hAnsi="Arial" w:cs="Arial"/>
          <w:sz w:val="24"/>
          <w:szCs w:val="24"/>
          <w:lang w:eastAsia="ru-RU"/>
        </w:rPr>
        <w:t>М.Н. Фандо</w:t>
      </w:r>
    </w:p>
    <w:sectPr w:rsidR="000821C5" w:rsidRPr="0039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EE" w:rsidRDefault="000F0EEE" w:rsidP="0098125E">
      <w:pPr>
        <w:spacing w:after="0" w:line="240" w:lineRule="auto"/>
      </w:pPr>
      <w:r>
        <w:separator/>
      </w:r>
    </w:p>
  </w:endnote>
  <w:endnote w:type="continuationSeparator" w:id="0">
    <w:p w:rsidR="000F0EEE" w:rsidRDefault="000F0EEE" w:rsidP="0098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EE" w:rsidRDefault="000F0EEE" w:rsidP="0098125E">
      <w:pPr>
        <w:spacing w:after="0" w:line="240" w:lineRule="auto"/>
      </w:pPr>
      <w:r>
        <w:separator/>
      </w:r>
    </w:p>
  </w:footnote>
  <w:footnote w:type="continuationSeparator" w:id="0">
    <w:p w:rsidR="000F0EEE" w:rsidRDefault="000F0EEE" w:rsidP="0098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6D32"/>
    <w:multiLevelType w:val="multilevel"/>
    <w:tmpl w:val="369A14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8A"/>
    <w:rsid w:val="000821C5"/>
    <w:rsid w:val="000F0EEE"/>
    <w:rsid w:val="000F2055"/>
    <w:rsid w:val="00150DB6"/>
    <w:rsid w:val="002D7BBF"/>
    <w:rsid w:val="003957A1"/>
    <w:rsid w:val="00495B50"/>
    <w:rsid w:val="005217A0"/>
    <w:rsid w:val="007B0BFB"/>
    <w:rsid w:val="007F3938"/>
    <w:rsid w:val="00807B60"/>
    <w:rsid w:val="0085266B"/>
    <w:rsid w:val="008E5976"/>
    <w:rsid w:val="0098125E"/>
    <w:rsid w:val="009A59F2"/>
    <w:rsid w:val="009F5ABF"/>
    <w:rsid w:val="00A02218"/>
    <w:rsid w:val="00AF65FD"/>
    <w:rsid w:val="00BD11FE"/>
    <w:rsid w:val="00BD7370"/>
    <w:rsid w:val="00D9402C"/>
    <w:rsid w:val="00E17C09"/>
    <w:rsid w:val="00E72575"/>
    <w:rsid w:val="00E973F4"/>
    <w:rsid w:val="00EA308A"/>
    <w:rsid w:val="00F261D2"/>
    <w:rsid w:val="00F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8F5B"/>
  <w15:chartTrackingRefBased/>
  <w15:docId w15:val="{F6152CFF-DDDD-4158-A473-74A6AA90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1C5"/>
  </w:style>
  <w:style w:type="paragraph" w:styleId="a6">
    <w:name w:val="footer"/>
    <w:basedOn w:val="a"/>
    <w:link w:val="a7"/>
    <w:uiPriority w:val="99"/>
    <w:unhideWhenUsed/>
    <w:rsid w:val="000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1C5"/>
  </w:style>
  <w:style w:type="paragraph" w:styleId="a8">
    <w:name w:val="Balloon Text"/>
    <w:basedOn w:val="a"/>
    <w:link w:val="a9"/>
    <w:uiPriority w:val="99"/>
    <w:semiHidden/>
    <w:unhideWhenUsed/>
    <w:rsid w:val="0008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Сельсовет</cp:lastModifiedBy>
  <cp:revision>18</cp:revision>
  <cp:lastPrinted>2019-06-21T01:07:00Z</cp:lastPrinted>
  <dcterms:created xsi:type="dcterms:W3CDTF">2018-11-15T04:33:00Z</dcterms:created>
  <dcterms:modified xsi:type="dcterms:W3CDTF">2019-07-01T06:59:00Z</dcterms:modified>
</cp:coreProperties>
</file>